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23C0BC" w14:textId="77777777" w:rsidR="00F33F4E" w:rsidRPr="004C7743" w:rsidRDefault="00F33F4E" w:rsidP="00F33F4E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  <w14:ligatures w14:val="none"/>
        </w:rPr>
      </w:pPr>
    </w:p>
    <w:p w14:paraId="6A6E1E50" w14:textId="11574CA3" w:rsidR="00F33F4E" w:rsidRPr="006404C9" w:rsidRDefault="00F33F4E" w:rsidP="00F33F4E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de-DE"/>
          <w14:ligatures w14:val="none"/>
        </w:rPr>
        <w:t>ANLAGE: ICC/ESOMAR-MAPPING – Integrationsbarometer 2025 (ÖIF)</w:t>
      </w:r>
    </w:p>
    <w:p w14:paraId="1D8DC3B9" w14:textId="4FE426C8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de-DE"/>
          <w14:ligatures w14:val="none"/>
        </w:rPr>
        <w:t>0) Kurzbeschreibung des Prüfauftrags (Anlage Kopf)</w:t>
      </w:r>
      <w:r w:rsidR="004C7743" w:rsidRPr="004C774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de-DE"/>
          <w14:ligatures w14:val="none"/>
        </w:rPr>
        <w:br/>
      </w:r>
      <w:r w:rsidR="004C7743" w:rsidRPr="004C7743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de-DE"/>
          <w14:ligatures w14:val="none"/>
        </w:rPr>
        <w:br/>
      </w:r>
      <w:r w:rsidR="004C7743" w:rsidRPr="004C7743">
        <w:rPr>
          <w:rFonts w:ascii="Times New Roman" w:hAnsi="Times New Roman" w:cs="Times New Roman"/>
        </w:rPr>
        <w:t>Die Anlage dient der fachlichen Vorprüfung und ersetzt kein abschließendes Gutachten.</w:t>
      </w:r>
    </w:p>
    <w:p w14:paraId="629A4FD2" w14:textId="77777777" w:rsidR="00F33F4E" w:rsidRPr="006404C9" w:rsidRDefault="00F33F4E" w:rsidP="00F33F4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Gegenstand: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Integrationsbarometer 2025 (ÖIF), Durchführung: Dr. Peter Hajek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Ziel: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Methodische und forschungsethische Prüfung möglicher Abweichungen von Standards des ICC/ESOMAR-Kodex, insbesondere bei sensiblen Merkmalen (Religion, Migration, Sicherheit, Zusammenleben) und bei hoher politischer Anschlussfähigkeit.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Prüfmaßstab: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ICC/ESOMAR International Code – zentrale Anforderungen an Sorgfalt, Transparenz, Schadensvermeidung sowie korrekte Ergebnisdarstellung und Kontextualisierung.</w:t>
      </w:r>
    </w:p>
    <w:p w14:paraId="54F50D4B" w14:textId="3FA5DCFD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580BE690" w14:textId="77777777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A) KATEGORIENSETZUNG / KATEGORIENBRUCH (Religion als „Statusgruppe“)</w:t>
      </w:r>
    </w:p>
    <w:p w14:paraId="5B9906DD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A1 – Gleichsetzung von Religion mit migrationsrechtlichen Statusgruppen</w:t>
      </w:r>
    </w:p>
    <w:p w14:paraId="18A94359" w14:textId="77777777" w:rsidR="00F33F4E" w:rsidRPr="006404C9" w:rsidRDefault="00F33F4E" w:rsidP="00F33F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 im Bericht: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S. 20, Abb. 9 (Zusammenleben: Österreicher &amp; Zuwanderer/Flüchtlinge/</w:t>
      </w:r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Ukrainische</w:t>
      </w:r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Kriegsvertriebene sowie 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&amp;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Nicht-</w:t>
      </w:r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auf derselben Skala)</w:t>
      </w:r>
    </w:p>
    <w:p w14:paraId="308978DC" w14:textId="77777777" w:rsidR="00F33F4E" w:rsidRPr="006404C9" w:rsidRDefault="00F33F4E" w:rsidP="00F33F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Religion wird wie ein Verwaltungs- bzw. Statusmerkmal (Migration/Flucht) behandelt.</w:t>
      </w:r>
    </w:p>
    <w:p w14:paraId="24EE6D5C" w14:textId="77777777" w:rsidR="00F33F4E" w:rsidRPr="006404C9" w:rsidRDefault="00F33F4E" w:rsidP="00F33F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</w:p>
    <w:p w14:paraId="69E6294D" w14:textId="77777777" w:rsidR="00F33F4E" w:rsidRPr="006404C9" w:rsidRDefault="00F33F4E" w:rsidP="00F33F4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Migration/Flucht = rechtlich definierte Statusgruppen; Religion = Grundrecht/Privatsphäre.</w:t>
      </w:r>
    </w:p>
    <w:p w14:paraId="3DCB68BB" w14:textId="77777777" w:rsidR="00F33F4E" w:rsidRPr="006404C9" w:rsidRDefault="00F33F4E" w:rsidP="00F33F4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Diese Setzung verschiebt Religion in den Bereich „Problem-/Risikokategorie“.</w:t>
      </w:r>
    </w:p>
    <w:p w14:paraId="3F7DAE24" w14:textId="77777777" w:rsidR="00F33F4E" w:rsidRPr="006404C9" w:rsidRDefault="00F33F4E" w:rsidP="00F33F4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Erhöht Stigmatisierungs- und Diskriminierungsrisiken und erzeugt politische Anschlussfähigkeit.</w:t>
      </w:r>
    </w:p>
    <w:p w14:paraId="538E7D9C" w14:textId="77777777" w:rsidR="00F33F4E" w:rsidRPr="006404C9" w:rsidRDefault="00F33F4E" w:rsidP="00F33F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 – einschlägige Anforderungen (inhaltlich):</w:t>
      </w:r>
    </w:p>
    <w:p w14:paraId="1C759E0B" w14:textId="77777777" w:rsidR="00F33F4E" w:rsidRPr="006404C9" w:rsidRDefault="00F33F4E" w:rsidP="00F33F4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Art. 1: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Sorgfalt, Verantwortlichkeit, vorhersehbare gesellschaftliche Wirkungen minimieren.</w:t>
      </w:r>
    </w:p>
    <w:p w14:paraId="673CD3B3" w14:textId="77777777" w:rsidR="00F33F4E" w:rsidRPr="006404C9" w:rsidRDefault="00F33F4E" w:rsidP="00F33F4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Art. 7: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Besondere Sorgfalt bei sensiblen Merkmalen; Vermeidung von Schaden/ Diskriminierungsrisiko.</w:t>
      </w:r>
    </w:p>
    <w:p w14:paraId="239273B7" w14:textId="77777777" w:rsidR="00F33F4E" w:rsidRPr="006404C9" w:rsidRDefault="00F33F4E" w:rsidP="00F33F4E">
      <w:pPr>
        <w:numPr>
          <w:ilvl w:val="1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Art. 8: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Ergebnisse so darstellen, dass Fehlinterpretationen und Fehlwirkungen vermieden werden; Kontextualisierung.</w:t>
      </w:r>
    </w:p>
    <w:p w14:paraId="446DE65B" w14:textId="77777777" w:rsidR="00F33F4E" w:rsidRPr="006404C9" w:rsidRDefault="00F33F4E" w:rsidP="00F33F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 xml:space="preserve">Prüffrage an </w:t>
      </w:r>
      <w:proofErr w:type="spellStart"/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Expert:in</w:t>
      </w:r>
      <w:proofErr w:type="spellEnd"/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„Ist diese kategoriale Gleichsetzung methodisch vertretbar? Wird Religion dadurch faktisch als integrationsrelevantes ‚Risikomerkmal‘ konstruiert – und widerspricht das den Sorgfalts- und Schadensvermeidungsprinzipien des ICC/ESOMAR?“</w:t>
      </w:r>
    </w:p>
    <w:p w14:paraId="472B17B6" w14:textId="77777777" w:rsidR="00F33F4E" w:rsidRPr="006404C9" w:rsidRDefault="00F33F4E" w:rsidP="00F33F4E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Evidenz/Beleg: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Screenshot/Zitat der Frageformulierung + Abb. 9; ggf. Abschnitt zur Begründung der Kategorien.</w:t>
      </w:r>
    </w:p>
    <w:p w14:paraId="1D24DA10" w14:textId="77777777" w:rsidR="00F33F4E" w:rsidRPr="004C7743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</w:p>
    <w:p w14:paraId="6BAC5639" w14:textId="77777777" w:rsidR="00F33F4E" w:rsidRPr="004C7743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</w:p>
    <w:p w14:paraId="5B39751C" w14:textId="29CE5555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A2 – Fehlende Begründung / Operationalisierung der Kategorie „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“</w:t>
      </w:r>
    </w:p>
    <w:p w14:paraId="464EA4C3" w14:textId="77777777" w:rsidR="00F33F4E" w:rsidRPr="006404C9" w:rsidRDefault="00F33F4E" w:rsidP="00F33F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[Seite/Abschnitt einsetzen: Definitionen/Kategorien/Fragebogen]</w:t>
      </w:r>
    </w:p>
    <w:p w14:paraId="5213B4C4" w14:textId="77777777" w:rsidR="00F33F4E" w:rsidRPr="006404C9" w:rsidRDefault="00F33F4E" w:rsidP="00F33F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Unklar, wie „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“ operationalisiert wird (Selbstzuschreibung? Fremdzuschreibung? Annahme?).</w:t>
      </w:r>
    </w:p>
    <w:p w14:paraId="590A9A91" w14:textId="77777777" w:rsidR="00F33F4E" w:rsidRPr="006404C9" w:rsidRDefault="00F33F4E" w:rsidP="00F33F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Unsaubere Operationalisierung → Messfehler; erhöht Fehlinterpretationen.</w:t>
      </w:r>
    </w:p>
    <w:p w14:paraId="06D8A4F1" w14:textId="77777777" w:rsidR="00F33F4E" w:rsidRPr="006404C9" w:rsidRDefault="00F33F4E" w:rsidP="00F33F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7 (Transparenz sensibler Merkmale), Art. 8 (Nachvollziehbarkeit).</w:t>
      </w:r>
    </w:p>
    <w:p w14:paraId="403C531E" w14:textId="77777777" w:rsidR="00F33F4E" w:rsidRPr="006404C9" w:rsidRDefault="00F33F4E" w:rsidP="00F33F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„Ist die Kategorie ‘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’ hinreichend definiert und transparent operationalisiert, sodass Datenqualität beurteilt werden kann?“</w:t>
      </w:r>
    </w:p>
    <w:p w14:paraId="654D8E1F" w14:textId="77777777" w:rsidR="00F33F4E" w:rsidRPr="006404C9" w:rsidRDefault="00F33F4E" w:rsidP="00F33F4E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Fragebogenstelle/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Methodikpassage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6B522E80" w14:textId="591BB6F1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4ACECC46" w14:textId="77777777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B) ZEITREIHEN / DAUERBEOBACHTUNG (institutionalisierte Problemzuschreibung)</w:t>
      </w:r>
    </w:p>
    <w:p w14:paraId="7A7F894B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 xml:space="preserve">B1 – Selektive Zeitreihe zum „Zusammenleben mit 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“</w:t>
      </w:r>
    </w:p>
    <w:p w14:paraId="09C309B8" w14:textId="77777777" w:rsidR="00F33F4E" w:rsidRPr="006404C9" w:rsidRDefault="00F33F4E" w:rsidP="00F33F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S. 24, Abb. 13 (Zeitreihe: Zusammenleben mit 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)</w:t>
      </w:r>
    </w:p>
    <w:p w14:paraId="1A589AE8" w14:textId="77777777" w:rsidR="00F33F4E" w:rsidRPr="006404C9" w:rsidRDefault="00F33F4E" w:rsidP="00F33F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Eine religiöse Gruppe wird über Jahre als eigene Zeitreihe geführt; andere Religions-/Weltanschauungsgruppen nicht.</w:t>
      </w:r>
    </w:p>
    <w:p w14:paraId="543B7F8F" w14:textId="77777777" w:rsidR="00F33F4E" w:rsidRPr="006404C9" w:rsidRDefault="00F33F4E" w:rsidP="00F33F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</w:p>
    <w:p w14:paraId="09998385" w14:textId="77777777" w:rsidR="00F33F4E" w:rsidRPr="006404C9" w:rsidRDefault="00F33F4E" w:rsidP="00F33F4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Zeitreihen signalisieren Dauerhaftigkeit/Struktur → „permanentes Problem“.</w:t>
      </w:r>
    </w:p>
    <w:p w14:paraId="61572E60" w14:textId="77777777" w:rsidR="00F33F4E" w:rsidRPr="006404C9" w:rsidRDefault="00F33F4E" w:rsidP="00F33F4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Selektivität markiert 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Muslim:innen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als kontinuierliches Beobachtungsobjekt.</w:t>
      </w:r>
    </w:p>
    <w:p w14:paraId="689B0764" w14:textId="77777777" w:rsidR="00F33F4E" w:rsidRPr="006404C9" w:rsidRDefault="00F33F4E" w:rsidP="00F33F4E">
      <w:pPr>
        <w:numPr>
          <w:ilvl w:val="1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Hohe Stigmatisierungs- und Normalisierungsgefahr durch „wissenschaftliche“ Darstellung.</w:t>
      </w:r>
    </w:p>
    <w:p w14:paraId="1E778476" w14:textId="77777777" w:rsidR="00F33F4E" w:rsidRPr="006404C9" w:rsidRDefault="00F33F4E" w:rsidP="00F33F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1 (Schadensvermeidung), Art. 7 (sensibles Merkmal), Art. 8 (Darstellung/Fehlwirkung).</w:t>
      </w:r>
    </w:p>
    <w:p w14:paraId="6A216361" w14:textId="77777777" w:rsidR="00F33F4E" w:rsidRPr="006404C9" w:rsidRDefault="00F33F4E" w:rsidP="00F33F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„Ist die selektive Zeitreihenbildung fachlich gerechtfertigt – oder setzt sie ein strukturell stigmatisierendes Framing, das nach ICC/ESOMAR als vorhersehbare Fehlwirkung zu bewerten ist?“</w:t>
      </w:r>
    </w:p>
    <w:p w14:paraId="1DEE6924" w14:textId="77777777" w:rsidR="00F33F4E" w:rsidRPr="006404C9" w:rsidRDefault="00F33F4E" w:rsidP="00F33F4E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Abb. 13 + ggf. fehlende Vergleichsreihen (andere Gruppen).</w:t>
      </w:r>
    </w:p>
    <w:p w14:paraId="5E4448F1" w14:textId="17461E02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11F67F4B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ABB6FDD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40ED8B8B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025CCFAC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10C0448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7CAF2E99" w14:textId="4A664904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C) ERHEBUNGSMODUS / BIAS / ROBUSTHEIT (Telefon, soziale Erwünschtheit)</w:t>
      </w:r>
    </w:p>
    <w:p w14:paraId="679B96BF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C1 – Telefonische Erhebung bei hochsensiblen Themen ohne ausreichende Bias-Dokumentation</w:t>
      </w:r>
    </w:p>
    <w:p w14:paraId="56F2FE45" w14:textId="77777777" w:rsidR="00F33F4E" w:rsidRPr="006404C9" w:rsidRDefault="00F33F4E" w:rsidP="00F33F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</w:t>
      </w:r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Methodik</w:t>
      </w:r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S. 9–11 (telefonische Interviews, n≈1.000)</w:t>
      </w:r>
    </w:p>
    <w:p w14:paraId="43117196" w14:textId="77777777" w:rsidR="00F33F4E" w:rsidRPr="006404C9" w:rsidRDefault="00F33F4E" w:rsidP="00F33F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Telefonmodus bei sensiblen Themen; Bericht enthält keine/zu wenig Robustheitsangaben.</w:t>
      </w:r>
    </w:p>
    <w:p w14:paraId="0F3F5D23" w14:textId="77777777" w:rsidR="00F33F4E" w:rsidRPr="006404C9" w:rsidRDefault="00F33F4E" w:rsidP="00F33F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</w:p>
    <w:p w14:paraId="0CE4D2CC" w14:textId="77777777" w:rsidR="00F33F4E" w:rsidRPr="006404C9" w:rsidRDefault="00F33F4E" w:rsidP="00F33F4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Soziale Erwünschtheit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: Verzerrt Antworten zu Religion/Migration/Sicherheit.</w:t>
      </w:r>
    </w:p>
    <w:p w14:paraId="41778FBC" w14:textId="77777777" w:rsidR="00F33F4E" w:rsidRPr="006404C9" w:rsidRDefault="00F33F4E" w:rsidP="00F33F4E">
      <w:pPr>
        <w:numPr>
          <w:ilvl w:val="1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Ohne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Moduseffekt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-Analysen bleibt unklar, ob Ergebnisse „real“ oder methodisch erzeugt sind.</w:t>
      </w:r>
    </w:p>
    <w:p w14:paraId="22D1FEE8" w14:textId="77777777" w:rsidR="00F33F4E" w:rsidRPr="006404C9" w:rsidRDefault="00F33F4E" w:rsidP="00F33F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7 (Transparenz/Schadensvermeidung bei sensiblen Daten), Art. 8 (Qualität/Aussagekraft beurteilbar machen).</w:t>
      </w:r>
    </w:p>
    <w:p w14:paraId="6D2CDB6D" w14:textId="77777777" w:rsidR="00F33F4E" w:rsidRPr="006404C9" w:rsidRDefault="00F33F4E" w:rsidP="00F33F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„Sind Mode-Effekte, soziale Erwünschtheit und deren Konsequenzen im Bericht fachlich ausreichend adressiert, sodass Öffentlichkeit und Auftraggeber Aussagekraft beurteilen können?“</w:t>
      </w:r>
    </w:p>
    <w:p w14:paraId="6CEAD9EF" w14:textId="77777777" w:rsidR="00F33F4E" w:rsidRPr="006404C9" w:rsidRDefault="00F33F4E" w:rsidP="00F33F4E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Methodiktext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; fehlende Bias-/Limitationssektion markieren.</w:t>
      </w:r>
    </w:p>
    <w:p w14:paraId="08B790E7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C2 – Gewichtung / Stichprobenbeschreibung / Fehlende Sensitivitätsanalysen</w:t>
      </w:r>
    </w:p>
    <w:p w14:paraId="053E90C3" w14:textId="77777777" w:rsidR="00F33F4E" w:rsidRPr="006404C9" w:rsidRDefault="00F33F4E" w:rsidP="00F33F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[Methodik: Gewichtung, Sample-Design, Ausschöpfung,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Nonresponse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, Fehlerbandbreite]</w:t>
      </w:r>
    </w:p>
    <w:p w14:paraId="4C444E13" w14:textId="77777777" w:rsidR="00F33F4E" w:rsidRPr="006404C9" w:rsidRDefault="00F33F4E" w:rsidP="00F33F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Unklar, wie gewichtet wurde; keine Sensitivitäts-/Robustheitsanalysen.</w:t>
      </w:r>
    </w:p>
    <w:p w14:paraId="73740272" w14:textId="77777777" w:rsidR="00F33F4E" w:rsidRPr="006404C9" w:rsidRDefault="00F33F4E" w:rsidP="00F33F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Ohne diese Angaben kann niemand seriös prüfen, ob die Zahlen belastbar sind.</w:t>
      </w:r>
    </w:p>
    <w:p w14:paraId="448EBD8F" w14:textId="77777777" w:rsidR="00F33F4E" w:rsidRPr="006404C9" w:rsidRDefault="00F33F4E" w:rsidP="00F33F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8 (Transparenz, nicht irreführend), Art. 7 (Transparenz bei sensiblen Themen).</w:t>
      </w:r>
    </w:p>
    <w:p w14:paraId="330AF13D" w14:textId="77777777" w:rsidR="00F33F4E" w:rsidRPr="006404C9" w:rsidRDefault="00F33F4E" w:rsidP="00F33F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 xml:space="preserve">„Erfüllt der Bericht die Mindeststandards an Methodentransparenz (Gewichtung,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Nonresponse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, Design-Effekte), um Missverständnisse zu vermeiden?“</w:t>
      </w:r>
    </w:p>
    <w:p w14:paraId="45D58647" w14:textId="77777777" w:rsidR="00F33F4E" w:rsidRPr="006404C9" w:rsidRDefault="00F33F4E" w:rsidP="00F33F4E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fehlende/knappe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Methodikstellen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2B8D38D2" w14:textId="3D97AE02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0E00D97F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</w:p>
    <w:p w14:paraId="34BC4122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</w:p>
    <w:p w14:paraId="7DFD94B6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</w:p>
    <w:p w14:paraId="7EDB1BCB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</w:p>
    <w:p w14:paraId="6F9399A4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</w:p>
    <w:p w14:paraId="63C9A0C3" w14:textId="0C7A2D81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de-DE"/>
          <w14:ligatures w14:val="none"/>
        </w:rPr>
        <w:t>D) BEGRIFFE / EMOTIONALE MARKER (z.B. „politischer Islam“)</w:t>
      </w:r>
    </w:p>
    <w:p w14:paraId="492935D3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D1 – Verwendung eines nicht definierten Begriffs („politischer Islam“) im Sorgenranking</w:t>
      </w:r>
    </w:p>
    <w:p w14:paraId="4D02C973" w14:textId="77777777" w:rsidR="00F33F4E" w:rsidRPr="006404C9" w:rsidRDefault="00F33F4E" w:rsidP="00F33F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S. 13–14 (Sorgenranking)</w:t>
      </w:r>
    </w:p>
    <w:p w14:paraId="7EF72CE5" w14:textId="77777777" w:rsidR="00F33F4E" w:rsidRPr="006404C9" w:rsidRDefault="00F33F4E" w:rsidP="00F33F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Begriff wird genutzt, ohne Definition/Operationalisierung.</w:t>
      </w:r>
    </w:p>
    <w:p w14:paraId="6B825183" w14:textId="77777777" w:rsidR="00F33F4E" w:rsidRPr="006404C9" w:rsidRDefault="00F33F4E" w:rsidP="00F33F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</w:p>
    <w:p w14:paraId="017E0641" w14:textId="77777777" w:rsidR="00F33F4E" w:rsidRPr="006404C9" w:rsidRDefault="00F33F4E" w:rsidP="00F33F4E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Begriff wirkt als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Angst-/Assoziationsmarker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; triggert mediale Frames.</w:t>
      </w:r>
    </w:p>
    <w:p w14:paraId="5AC2A23C" w14:textId="77777777" w:rsidR="00F33F4E" w:rsidRPr="006404C9" w:rsidRDefault="00F33F4E" w:rsidP="00F33F4E">
      <w:pPr>
        <w:numPr>
          <w:ilvl w:val="1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Verzerrt Antwortverhalten; erhöht politische Anschlussfähigkeit.</w:t>
      </w:r>
    </w:p>
    <w:p w14:paraId="77D6C198" w14:textId="77777777" w:rsidR="00F33F4E" w:rsidRPr="006404C9" w:rsidRDefault="00F33F4E" w:rsidP="00F33F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8 (Irreführung vermeiden; Kontext/Definitionen), Art. 1 (vorhersehbare Wirkung).</w:t>
      </w:r>
    </w:p>
    <w:p w14:paraId="04CDDBCF" w14:textId="77777777" w:rsidR="00F33F4E" w:rsidRPr="006404C9" w:rsidRDefault="00F33F4E" w:rsidP="00F33F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„Ist die Verwendung undefinierter, politisch aufgeladener Begriffe methodisch vertretbar – oder erzeugt sie vorhersehbare Verzerrungen und Fehlwirkungen?“</w:t>
      </w:r>
    </w:p>
    <w:p w14:paraId="687643C7" w14:textId="77777777" w:rsidR="00F33F4E" w:rsidRPr="006404C9" w:rsidRDefault="00F33F4E" w:rsidP="00F33F4E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Rankingstelle + fehlende Definition im Glossar/Methodik.</w:t>
      </w:r>
    </w:p>
    <w:p w14:paraId="1C13103F" w14:textId="550D123A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31864F85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4EDFE5CC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0363E90B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5D3E4AD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2BB17CD0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C5FBDDE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0C92D1E1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106FD2C7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6E7DFB3C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3B3F8A0B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7B07954A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61BF864A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2515B3D7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72ABCEB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22630A65" w14:textId="4CA0FD85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E) DARSTELLUNG / KONTEXTUALISIERUNG (Fehlinterpretationen politisch „einladend“)</w:t>
      </w:r>
    </w:p>
    <w:p w14:paraId="4C927F6F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E1 – Ergebnispräsentation ohne hinreichende Kontextualisierung sensibler Kategorien</w:t>
      </w:r>
    </w:p>
    <w:p w14:paraId="2B2FAEC0" w14:textId="77777777" w:rsidR="00F33F4E" w:rsidRPr="006404C9" w:rsidRDefault="00F33F4E" w:rsidP="00F33F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[Abschnitt Ergebnisdarstellung „Zusammenleben“; Textpassagen, die Werte ohne Limitationsrahmen präsentieren]</w:t>
      </w:r>
    </w:p>
    <w:p w14:paraId="5F4FC507" w14:textId="77777777" w:rsidR="00F33F4E" w:rsidRPr="006404C9" w:rsidRDefault="00F33F4E" w:rsidP="00F33F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Sensible Befunde werden ohne klare Grenzen/Limitationsrahmen dargestellt.</w:t>
      </w:r>
    </w:p>
    <w:p w14:paraId="1246901D" w14:textId="77777777" w:rsidR="00F33F4E" w:rsidRPr="006404C9" w:rsidRDefault="00F33F4E" w:rsidP="00F33F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Erhöht Risiko pauschaler Schlüsse („Muslime sind Problem“), begünstigt politische Kampagnen.</w:t>
      </w:r>
    </w:p>
    <w:p w14:paraId="38135199" w14:textId="77777777" w:rsidR="00F33F4E" w:rsidRPr="006404C9" w:rsidRDefault="00F33F4E" w:rsidP="00F33F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8 (ausgewogen, wahrheitsgemäß, ausreichend kontextualisiert).</w:t>
      </w:r>
    </w:p>
    <w:p w14:paraId="582E22BD" w14:textId="77777777" w:rsidR="00F33F4E" w:rsidRPr="006404C9" w:rsidRDefault="00F33F4E" w:rsidP="00F33F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„Wird im Bericht explizit und sichtbar genug klargestellt, was die Daten NICHT aussagen, um Fehlwirkungen zu vermeiden?“</w:t>
      </w:r>
    </w:p>
    <w:p w14:paraId="7CF7836C" w14:textId="77777777" w:rsidR="00F33F4E" w:rsidRPr="006404C9" w:rsidRDefault="00F33F4E" w:rsidP="00F33F4E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Textstellen, wo diese Hinweise fehlen.</w:t>
      </w:r>
    </w:p>
    <w:p w14:paraId="65151EF3" w14:textId="77777777" w:rsidR="00F33F4E" w:rsidRPr="004C7743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</w:p>
    <w:p w14:paraId="3E79D37A" w14:textId="40AF7858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E2 – Politische Anschlussfähigkeit als vorhersehbare Fehlwirkung (staatlich finanziert)</w:t>
      </w:r>
    </w:p>
    <w:p w14:paraId="62B2B1EE" w14:textId="77777777" w:rsidR="00F33F4E" w:rsidRPr="006404C9" w:rsidRDefault="00F33F4E" w:rsidP="00F33F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[Dokumentieren: Presse/Statements/Parteikampagnen – falls im Bericht erwähnt; ansonsten als Kontextbeilage]</w:t>
      </w:r>
    </w:p>
    <w:p w14:paraId="7C60E3A7" w14:textId="77777777" w:rsidR="00F33F4E" w:rsidRPr="006404C9" w:rsidRDefault="00F33F4E" w:rsidP="00F33F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Ergebnisse wurden politisch verwertet; Anschlussfähigkeit war vorhersehbar.</w:t>
      </w:r>
    </w:p>
    <w:p w14:paraId="2C0A88F6" w14:textId="77777777" w:rsidR="00F33F4E" w:rsidRPr="006404C9" w:rsidRDefault="00F33F4E" w:rsidP="00F33F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Bei staatlicher Finanzierung sind Anforderungen an Distanz und Schutz vor Instrumentalisierung höher.</w:t>
      </w:r>
    </w:p>
    <w:p w14:paraId="2B35129F" w14:textId="77777777" w:rsidR="00F33F4E" w:rsidRPr="006404C9" w:rsidRDefault="00F33F4E" w:rsidP="00F33F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1 &amp; 8 (Verantwortung bei Veröffentlichung; nicht irreführend; Missbrauch nicht fördern).</w:t>
      </w:r>
    </w:p>
    <w:p w14:paraId="2E181BA7" w14:textId="77777777" w:rsidR="00F33F4E" w:rsidRPr="006404C9" w:rsidRDefault="00F33F4E" w:rsidP="00F33F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„Welche Schutz- und Kontextmechanismen wären ICC/ESOMAR-konform erforderlich gewesen, um politisch motivierte Fehlinterpretationen zu minimieren?“</w:t>
      </w:r>
    </w:p>
    <w:p w14:paraId="6DE9B0DA" w14:textId="77777777" w:rsidR="00F33F4E" w:rsidRPr="006404C9" w:rsidRDefault="00F33F4E" w:rsidP="00F33F4E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sz w:val="32"/>
          <w:szCs w:val="32"/>
          <w:lang w:eastAsia="de-DE"/>
          <w14:ligatures w14:val="none"/>
        </w:rPr>
        <w:t xml:space="preserve"> Medienbelege als separate Anlage.</w:t>
      </w:r>
    </w:p>
    <w:p w14:paraId="39329D92" w14:textId="71810D44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sz w:val="32"/>
          <w:szCs w:val="32"/>
          <w:lang w:eastAsia="de-DE"/>
          <w14:ligatures w14:val="none"/>
        </w:rPr>
      </w:pPr>
    </w:p>
    <w:p w14:paraId="0761FC4E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3BBA0D72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AA4B135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5865E645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21C20DFD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79FB0C07" w14:textId="77777777" w:rsidR="00F33F4E" w:rsidRPr="004C7743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</w:p>
    <w:p w14:paraId="65D3C5F9" w14:textId="2C9F6539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F) ASYMMETRIE / FEHLENDE</w:t>
      </w:r>
      <w:r w:rsidRPr="004C7743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 xml:space="preserve"> B</w:t>
      </w: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ETROFFENENPERSPEKTIVE</w:t>
      </w:r>
    </w:p>
    <w:p w14:paraId="085EDCCB" w14:textId="77777777" w:rsidR="00F33F4E" w:rsidRPr="006404C9" w:rsidRDefault="00F33F4E" w:rsidP="00F33F4E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de-DE"/>
          <w14:ligatures w14:val="none"/>
        </w:rPr>
        <w:t>F1 – „Zusammenleben“ wird einseitig als Bewertungsurteil der Mehrheit erhoben</w:t>
      </w:r>
    </w:p>
    <w:p w14:paraId="3A490A79" w14:textId="77777777" w:rsidR="00F33F4E" w:rsidRPr="006404C9" w:rsidRDefault="00F33F4E" w:rsidP="00F33F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Stelle: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[Abschnitt zur Konstruktion der „Zusammenleben“-Frage]</w:t>
      </w:r>
    </w:p>
    <w:p w14:paraId="1F239CAD" w14:textId="77777777" w:rsidR="00F33F4E" w:rsidRPr="006404C9" w:rsidRDefault="00F33F4E" w:rsidP="00F33F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Befund: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Keine systematische Erhebung von Diskriminierungs-/Ausgrenzungserfahrungen der Bewerteten.</w:t>
      </w:r>
    </w:p>
    <w:p w14:paraId="343E4EB9" w14:textId="77777777" w:rsidR="00F33F4E" w:rsidRPr="006404C9" w:rsidRDefault="00F33F4E" w:rsidP="00F33F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Warum problematisch: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Einseitige Bewertung erzeugt „Richter-Logik“ </w:t>
      </w:r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statt relationales Verständnis</w:t>
      </w:r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; strukturelle Ursachen bleiben unsichtbar.</w:t>
      </w:r>
    </w:p>
    <w:p w14:paraId="555ED9AF" w14:textId="77777777" w:rsidR="00F33F4E" w:rsidRPr="006404C9" w:rsidRDefault="00F33F4E" w:rsidP="00F33F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ICC/ESOMAR: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Art. 1 (Schadensvermeidung), Art. 8 (Ausgewogenheit/Kontext).</w:t>
      </w:r>
    </w:p>
    <w:p w14:paraId="32D1FD8B" w14:textId="77777777" w:rsidR="00F33F4E" w:rsidRPr="006404C9" w:rsidRDefault="00F33F4E" w:rsidP="00F33F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Prüffrage: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br/>
        <w:t>„Ist die Messanlage inhaltlich ausgewogen, oder entsteht ein asymmetrisches Bewertungsregime mit vorhersehbaren Stigma-Effekten?“</w:t>
      </w:r>
    </w:p>
    <w:p w14:paraId="3CF897B6" w14:textId="77777777" w:rsidR="00F33F4E" w:rsidRPr="006404C9" w:rsidRDefault="00F33F4E" w:rsidP="00F33F4E">
      <w:pPr>
        <w:numPr>
          <w:ilvl w:val="0"/>
          <w:numId w:val="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Beleg: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Fragebogen/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Indikatorenliste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.</w:t>
      </w:r>
    </w:p>
    <w:p w14:paraId="27E0EF45" w14:textId="4DFEF62E" w:rsidR="00F33F4E" w:rsidRPr="006404C9" w:rsidRDefault="00F33F4E" w:rsidP="00F33F4E">
      <w:pPr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7B47EED9" w14:textId="77777777" w:rsidR="00F33F4E" w:rsidRPr="006404C9" w:rsidRDefault="00F33F4E" w:rsidP="00F33F4E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de-DE"/>
          <w14:ligatures w14:val="none"/>
        </w:rPr>
        <w:t>G) MINDESTANFORDERUNGEN AN EIN ICC/ESOMAR-KONFORMES PUBLIC REPORTING (Checkliste)</w:t>
      </w:r>
    </w:p>
    <w:p w14:paraId="11A2F14C" w14:textId="77777777" w:rsidR="00F33F4E" w:rsidRPr="006404C9" w:rsidRDefault="00F33F4E" w:rsidP="00F33F4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Diese Punkte sollen </w:t>
      </w:r>
      <w:proofErr w:type="spellStart"/>
      <w:proofErr w:type="gram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Expert:innen</w:t>
      </w:r>
      <w:proofErr w:type="spellEnd"/>
      <w:proofErr w:type="gram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ausdrücklich prüfen:</w:t>
      </w:r>
    </w:p>
    <w:p w14:paraId="330FAAD4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Sind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Fragebogen und Wortlaut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vollständig verfügbar (oder ausreichend dokumentiert)?</w:t>
      </w:r>
    </w:p>
    <w:p w14:paraId="7B196605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Werden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 xml:space="preserve">Stichprobe, </w:t>
      </w:r>
      <w:proofErr w:type="spellStart"/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Feldzeit</w:t>
      </w:r>
      <w:proofErr w:type="spellEnd"/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, Modus, Ausschöpfung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sauber beschrieben?</w:t>
      </w:r>
    </w:p>
    <w:p w14:paraId="186BDA4F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Werden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Gewichtungen, Design-Effekte, Fehlertoleranzen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transparent gemacht?</w:t>
      </w:r>
    </w:p>
    <w:p w14:paraId="7CA2D25A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Gibt es eine klare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Limitationssektion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(sozial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beğenirlik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,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mode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effects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, </w:t>
      </w:r>
      <w:proofErr w:type="spellStart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nonresponse</w:t>
      </w:r>
      <w:proofErr w:type="spellEnd"/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)?</w:t>
      </w:r>
    </w:p>
    <w:p w14:paraId="0D6CB5BE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Werden sensible Kategorien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definiert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und ihre Verwendung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begründet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>?</w:t>
      </w:r>
    </w:p>
    <w:p w14:paraId="1E84F4D8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Wird die Darstellung so gestaltet, dass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Fehlinterpretationen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minimiert werden?</w:t>
      </w:r>
    </w:p>
    <w:p w14:paraId="6DB1CC7F" w14:textId="77777777" w:rsidR="00F33F4E" w:rsidRPr="006404C9" w:rsidRDefault="00F33F4E" w:rsidP="00F33F4E">
      <w:pPr>
        <w:numPr>
          <w:ilvl w:val="0"/>
          <w:numId w:val="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Gibt es Hinweise zur </w:t>
      </w:r>
      <w:r w:rsidRPr="006404C9">
        <w:rPr>
          <w:rFonts w:ascii="Times New Roman" w:eastAsia="Times New Roman" w:hAnsi="Times New Roman" w:cs="Times New Roman"/>
          <w:b/>
          <w:bCs/>
          <w:kern w:val="0"/>
          <w:lang w:eastAsia="de-DE"/>
          <w14:ligatures w14:val="none"/>
        </w:rPr>
        <w:t>Nicht-Kausalität</w:t>
      </w:r>
      <w:r w:rsidRPr="006404C9">
        <w:rPr>
          <w:rFonts w:ascii="Times New Roman" w:eastAsia="Times New Roman" w:hAnsi="Times New Roman" w:cs="Times New Roman"/>
          <w:kern w:val="0"/>
          <w:lang w:eastAsia="de-DE"/>
          <w14:ligatures w14:val="none"/>
        </w:rPr>
        <w:t xml:space="preserve"> und zur begrenzten Aussagekraft von Wahrnehmungsurteilen?</w:t>
      </w:r>
    </w:p>
    <w:p w14:paraId="58FF0FA8" w14:textId="77777777" w:rsidR="00F33F4E" w:rsidRPr="00BC376B" w:rsidRDefault="00F33F4E" w:rsidP="00F33F4E">
      <w:p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:lang w:eastAsia="de-DE"/>
          <w14:ligatures w14:val="none"/>
        </w:rPr>
      </w:pPr>
    </w:p>
    <w:p w14:paraId="4C08930C" w14:textId="77777777" w:rsidR="00F33F4E" w:rsidRPr="004C7743" w:rsidRDefault="00F33F4E" w:rsidP="00F33F4E">
      <w:pPr>
        <w:rPr>
          <w:rFonts w:ascii="Times New Roman" w:hAnsi="Times New Roman" w:cs="Times New Roman"/>
        </w:rPr>
      </w:pPr>
    </w:p>
    <w:p w14:paraId="03BA7855" w14:textId="77777777" w:rsidR="00125384" w:rsidRPr="004C7743" w:rsidRDefault="00125384">
      <w:pPr>
        <w:rPr>
          <w:rFonts w:ascii="Times New Roman" w:hAnsi="Times New Roman" w:cs="Times New Roman"/>
        </w:rPr>
      </w:pPr>
    </w:p>
    <w:sectPr w:rsidR="00125384" w:rsidRPr="004C774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F2367A"/>
    <w:multiLevelType w:val="multilevel"/>
    <w:tmpl w:val="5F02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066DC9"/>
    <w:multiLevelType w:val="multilevel"/>
    <w:tmpl w:val="F6967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FF2F98"/>
    <w:multiLevelType w:val="multilevel"/>
    <w:tmpl w:val="5178F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9541E5"/>
    <w:multiLevelType w:val="multilevel"/>
    <w:tmpl w:val="6FEAC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573876"/>
    <w:multiLevelType w:val="multilevel"/>
    <w:tmpl w:val="967EF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FF5C3D"/>
    <w:multiLevelType w:val="multilevel"/>
    <w:tmpl w:val="A5F89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713714"/>
    <w:multiLevelType w:val="multilevel"/>
    <w:tmpl w:val="5D0E6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B0444DA"/>
    <w:multiLevelType w:val="multilevel"/>
    <w:tmpl w:val="4F1C6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B02403"/>
    <w:multiLevelType w:val="multilevel"/>
    <w:tmpl w:val="9DDC8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152984"/>
    <w:multiLevelType w:val="multilevel"/>
    <w:tmpl w:val="E76A7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16802216">
    <w:abstractNumId w:val="1"/>
  </w:num>
  <w:num w:numId="2" w16cid:durableId="485442022">
    <w:abstractNumId w:val="0"/>
  </w:num>
  <w:num w:numId="3" w16cid:durableId="625966924">
    <w:abstractNumId w:val="3"/>
  </w:num>
  <w:num w:numId="4" w16cid:durableId="139731087">
    <w:abstractNumId w:val="4"/>
  </w:num>
  <w:num w:numId="5" w16cid:durableId="1702320235">
    <w:abstractNumId w:val="2"/>
  </w:num>
  <w:num w:numId="6" w16cid:durableId="1262102622">
    <w:abstractNumId w:val="5"/>
  </w:num>
  <w:num w:numId="7" w16cid:durableId="273291404">
    <w:abstractNumId w:val="6"/>
  </w:num>
  <w:num w:numId="8" w16cid:durableId="96601447">
    <w:abstractNumId w:val="8"/>
  </w:num>
  <w:num w:numId="9" w16cid:durableId="167642318">
    <w:abstractNumId w:val="7"/>
  </w:num>
  <w:num w:numId="10" w16cid:durableId="96057446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4E"/>
    <w:rsid w:val="00125384"/>
    <w:rsid w:val="004C7743"/>
    <w:rsid w:val="00747965"/>
    <w:rsid w:val="007651C4"/>
    <w:rsid w:val="00F3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54165"/>
  <w15:chartTrackingRefBased/>
  <w15:docId w15:val="{C73A6016-6ECC-EC46-9B14-2777B61DF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A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33F4E"/>
  </w:style>
  <w:style w:type="paragraph" w:styleId="berschrift1">
    <w:name w:val="heading 1"/>
    <w:basedOn w:val="Standard"/>
    <w:next w:val="Standard"/>
    <w:link w:val="berschrift1Zchn"/>
    <w:uiPriority w:val="9"/>
    <w:qFormat/>
    <w:rsid w:val="00F33F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F33F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F33F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33F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33F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33F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33F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33F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33F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33F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F33F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F33F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33F4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33F4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33F4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33F4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33F4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33F4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F33F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33F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33F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33F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F33F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F33F4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F33F4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F33F4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33F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33F4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F33F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1139</Words>
  <Characters>7673</Characters>
  <Application>Microsoft Office Word</Application>
  <DocSecurity>0</DocSecurity>
  <Lines>130</Lines>
  <Paragraphs>34</Paragraphs>
  <ScaleCrop>false</ScaleCrop>
  <Company/>
  <LinksUpToDate>false</LinksUpToDate>
  <CharactersWithSpaces>8778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Birol Kilic</dc:creator>
  <cp:keywords/>
  <dc:description/>
  <cp:lastModifiedBy>DI Birol Kilic</cp:lastModifiedBy>
  <cp:revision>2</cp:revision>
  <cp:lastPrinted>2026-01-09T18:03:00Z</cp:lastPrinted>
  <dcterms:created xsi:type="dcterms:W3CDTF">2026-01-09T18:05:00Z</dcterms:created>
  <dcterms:modified xsi:type="dcterms:W3CDTF">2026-01-09T18:05:00Z</dcterms:modified>
</cp:coreProperties>
</file>